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2C" w:rsidRPr="00BC3E86" w:rsidRDefault="00374DC5" w:rsidP="00BC3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lang w:val="fr-FR"/>
        </w:rPr>
      </w:pPr>
      <w:r w:rsidRPr="00BC3E86">
        <w:rPr>
          <w:b/>
          <w:sz w:val="24"/>
          <w:lang w:val="fr-FR"/>
        </w:rPr>
        <w:t>Consignes carte</w:t>
      </w:r>
      <w:r w:rsidR="00AF434B">
        <w:rPr>
          <w:b/>
          <w:sz w:val="24"/>
          <w:lang w:val="fr-FR"/>
        </w:rPr>
        <w:t xml:space="preserve"> page 9</w:t>
      </w:r>
      <w:r w:rsidRPr="00BC3E86">
        <w:rPr>
          <w:b/>
          <w:sz w:val="24"/>
          <w:lang w:val="fr-FR"/>
        </w:rPr>
        <w:t> :</w:t>
      </w:r>
      <w:r w:rsidR="009E0FF7">
        <w:rPr>
          <w:b/>
          <w:sz w:val="24"/>
          <w:lang w:val="fr-FR"/>
        </w:rPr>
        <w:t xml:space="preserve"> D</w:t>
      </w:r>
      <w:r w:rsidRPr="00BC3E86">
        <w:rPr>
          <w:b/>
          <w:sz w:val="24"/>
          <w:lang w:val="fr-FR"/>
        </w:rPr>
        <w:t>épendance énergétique de l’Union européenne</w:t>
      </w:r>
      <w:r w:rsidR="00F37FD5" w:rsidRPr="00BC3E86">
        <w:rPr>
          <w:b/>
          <w:sz w:val="24"/>
          <w:lang w:val="fr-FR"/>
        </w:rPr>
        <w:t xml:space="preserve"> l’échelle mondiale.</w:t>
      </w:r>
    </w:p>
    <w:p w:rsidR="00F37FD5" w:rsidRDefault="00374DC5" w:rsidP="00F37FD5">
      <w:pPr>
        <w:rPr>
          <w:rFonts w:ascii="Comic Sans MS" w:hAnsi="Comic Sans MS"/>
        </w:rPr>
      </w:pPr>
      <w:r>
        <w:rPr>
          <w:lang w:val="fr-FR"/>
        </w:rPr>
        <w:t>1. Délimiter en noir les limites de l’Union européenne</w:t>
      </w:r>
      <w:r w:rsidR="00F37FD5">
        <w:rPr>
          <w:lang w:val="fr-FR"/>
        </w:rPr>
        <w:t xml:space="preserve"> ainsi que</w:t>
      </w:r>
      <w:r w:rsidR="0045185C">
        <w:rPr>
          <w:lang w:val="fr-FR"/>
        </w:rPr>
        <w:t xml:space="preserve"> celles d</w:t>
      </w:r>
      <w:r w:rsidR="00F37FD5">
        <w:rPr>
          <w:lang w:val="fr-FR"/>
        </w:rPr>
        <w:t>es U.S.A et</w:t>
      </w:r>
      <w:r w:rsidR="00D340DE">
        <w:rPr>
          <w:lang w:val="fr-FR"/>
        </w:rPr>
        <w:t xml:space="preserve"> de</w:t>
      </w:r>
      <w:r w:rsidR="00F37FD5">
        <w:rPr>
          <w:lang w:val="fr-FR"/>
        </w:rPr>
        <w:t xml:space="preserve"> la Chine (</w:t>
      </w:r>
      <w:r w:rsidR="00F37FD5" w:rsidRPr="00F37FD5">
        <w:rPr>
          <w:lang w:val="fr-FR"/>
        </w:rPr>
        <w:t>Plus gros consommateurs d’</w:t>
      </w:r>
      <w:r w:rsidR="006A5B7A">
        <w:rPr>
          <w:lang w:val="fr-FR"/>
        </w:rPr>
        <w:t>énergie dans les membres du G20 (voir document 3).</w:t>
      </w:r>
    </w:p>
    <w:p w:rsidR="00374DC5" w:rsidRDefault="00374DC5">
      <w:pPr>
        <w:rPr>
          <w:lang w:val="fr-FR"/>
        </w:rPr>
      </w:pPr>
    </w:p>
    <w:p w:rsidR="00374DC5" w:rsidRDefault="00374DC5">
      <w:pPr>
        <w:rPr>
          <w:lang w:val="fr-FR"/>
        </w:rPr>
      </w:pPr>
      <w:r>
        <w:rPr>
          <w:lang w:val="fr-FR"/>
        </w:rPr>
        <w:t>2. Positionner un symbole pour chaque énergie fossile sur le territoire de l’Union européenne (p</w:t>
      </w:r>
      <w:r w:rsidR="00607AB3">
        <w:rPr>
          <w:lang w:val="fr-FR"/>
        </w:rPr>
        <w:t>étrole, gaz naturel et charbon).</w:t>
      </w:r>
    </w:p>
    <w:p w:rsidR="00A60F94" w:rsidRDefault="00A60F94">
      <w:pPr>
        <w:rPr>
          <w:lang w:val="fr-FR"/>
        </w:rPr>
      </w:pPr>
      <w:r>
        <w:rPr>
          <w:lang w:val="fr-FR"/>
        </w:rPr>
        <w:t>Exemple de symboles ou figurés ponctuels.</w:t>
      </w:r>
    </w:p>
    <w:p w:rsidR="00A60F94" w:rsidRDefault="00A60F94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405615" cy="27239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91" t="28571" r="37190" b="2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70" cy="27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 : </w:t>
      </w:r>
      <w:proofErr w:type="gramStart"/>
      <w:r>
        <w:rPr>
          <w:lang w:val="fr-FR"/>
        </w:rPr>
        <w:t>charbon</w:t>
      </w:r>
      <w:proofErr w:type="gramEnd"/>
    </w:p>
    <w:p w:rsidR="00A60F94" w:rsidRDefault="00A60F94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409575" cy="451737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389" t="65217" r="15372" b="1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 : </w:t>
      </w:r>
      <w:proofErr w:type="gramStart"/>
      <w:r>
        <w:rPr>
          <w:lang w:val="fr-FR"/>
        </w:rPr>
        <w:t>gaz</w:t>
      </w:r>
      <w:proofErr w:type="gramEnd"/>
      <w:r>
        <w:rPr>
          <w:lang w:val="fr-FR"/>
        </w:rPr>
        <w:t xml:space="preserve"> naturel</w:t>
      </w:r>
    </w:p>
    <w:p w:rsidR="00A60F94" w:rsidRDefault="00A60F94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396431" cy="476250"/>
            <wp:effectExtent l="19050" t="0" r="3619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512" t="19255" r="36860" b="2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3" cy="47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 : </w:t>
      </w:r>
      <w:proofErr w:type="gramStart"/>
      <w:r>
        <w:rPr>
          <w:lang w:val="fr-FR"/>
        </w:rPr>
        <w:t>pétrole</w:t>
      </w:r>
      <w:proofErr w:type="gramEnd"/>
    </w:p>
    <w:p w:rsidR="00374DC5" w:rsidRDefault="00374DC5">
      <w:pPr>
        <w:rPr>
          <w:lang w:val="fr-FR"/>
        </w:rPr>
      </w:pPr>
    </w:p>
    <w:p w:rsidR="00374DC5" w:rsidRDefault="00374DC5">
      <w:pPr>
        <w:rPr>
          <w:b/>
          <w:lang w:val="fr-FR"/>
        </w:rPr>
      </w:pPr>
      <w:r>
        <w:rPr>
          <w:lang w:val="fr-FR"/>
        </w:rPr>
        <w:t xml:space="preserve">Ensuite, indiquer ces mêmes symboles dans la légende. A côté de chaque symbole, y indiquer les pourcentages de réserves disponibles </w:t>
      </w:r>
      <w:r w:rsidR="00045CF6">
        <w:rPr>
          <w:lang w:val="fr-FR"/>
        </w:rPr>
        <w:t>à l’échelle mondiales en 2014</w:t>
      </w:r>
      <w:r>
        <w:rPr>
          <w:lang w:val="fr-FR"/>
        </w:rPr>
        <w:t xml:space="preserve">, </w:t>
      </w:r>
      <w:r w:rsidRPr="00374DC5">
        <w:rPr>
          <w:b/>
          <w:lang w:val="fr-FR"/>
        </w:rPr>
        <w:t>dans la légende</w:t>
      </w:r>
      <w:r>
        <w:rPr>
          <w:lang w:val="fr-FR"/>
        </w:rPr>
        <w:t xml:space="preserve"> et </w:t>
      </w:r>
      <w:r w:rsidR="00607AB3">
        <w:rPr>
          <w:b/>
          <w:lang w:val="fr-FR"/>
        </w:rPr>
        <w:t xml:space="preserve">non directement sur la carte </w:t>
      </w:r>
      <w:r w:rsidR="00607AB3" w:rsidRPr="00607AB3">
        <w:rPr>
          <w:lang w:val="fr-FR"/>
        </w:rPr>
        <w:t>(voir document 2).</w:t>
      </w:r>
    </w:p>
    <w:p w:rsidR="00D10E51" w:rsidRDefault="00D10E51" w:rsidP="00B94E43">
      <w:pPr>
        <w:rPr>
          <w:lang w:val="fr-FR"/>
        </w:rPr>
      </w:pPr>
      <w:r>
        <w:rPr>
          <w:lang w:val="fr-FR"/>
        </w:rPr>
        <w:t xml:space="preserve">4.  Représenter sur la carte, sur le territoire </w:t>
      </w:r>
      <w:r w:rsidR="00CF1C26">
        <w:rPr>
          <w:lang w:val="fr-FR"/>
        </w:rPr>
        <w:t>de l</w:t>
      </w:r>
      <w:r>
        <w:rPr>
          <w:lang w:val="fr-FR"/>
        </w:rPr>
        <w:t>’</w:t>
      </w:r>
      <w:r w:rsidR="00CF1C26">
        <w:rPr>
          <w:lang w:val="fr-FR"/>
        </w:rPr>
        <w:t>U</w:t>
      </w:r>
      <w:r>
        <w:rPr>
          <w:lang w:val="fr-FR"/>
        </w:rPr>
        <w:t>nion européenne</w:t>
      </w:r>
      <w:r w:rsidR="00C21279">
        <w:rPr>
          <w:lang w:val="fr-FR"/>
        </w:rPr>
        <w:t>,</w:t>
      </w:r>
      <w:r>
        <w:rPr>
          <w:lang w:val="fr-FR"/>
        </w:rPr>
        <w:t xml:space="preserve"> de</w:t>
      </w:r>
      <w:r w:rsidR="00CF1C26">
        <w:rPr>
          <w:lang w:val="fr-FR"/>
        </w:rPr>
        <w:t xml:space="preserve">s ronds de différentes couleurs pour représenter la quantité </w:t>
      </w:r>
      <w:r w:rsidR="00607AB3">
        <w:rPr>
          <w:lang w:val="fr-FR"/>
        </w:rPr>
        <w:t>d’énergie renouvelable produite (voir document 7)</w:t>
      </w:r>
      <w:r w:rsidR="006A5B7A">
        <w:rPr>
          <w:lang w:val="fr-FR"/>
        </w:rPr>
        <w:t>.</w:t>
      </w:r>
    </w:p>
    <w:p w:rsidR="00D10E51" w:rsidRDefault="002D396F" w:rsidP="00B94E43">
      <w:pPr>
        <w:rPr>
          <w:lang w:val="fr-FR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4pt;margin-top:17.7pt;width:31.5pt;height:15pt;z-index:251658240" fillcolor="#00b050">
            <v:textbox>
              <w:txbxContent>
                <w:p w:rsidR="00D10E51" w:rsidRDefault="00D10E51"/>
              </w:txbxContent>
            </v:textbox>
          </v:shape>
        </w:pict>
      </w:r>
      <w:r w:rsidR="00D10E51">
        <w:rPr>
          <w:lang w:val="fr-FR"/>
        </w:rPr>
        <w:t>Chaque énergie renouvelable à sa couleur de rond.</w:t>
      </w:r>
    </w:p>
    <w:p w:rsidR="00D10E51" w:rsidRPr="00D10E51" w:rsidRDefault="00D10E51" w:rsidP="00B94E43">
      <w:pPr>
        <w:rPr>
          <w:lang w:val="fr-FR"/>
        </w:rPr>
      </w:pPr>
      <w:r w:rsidRPr="00D10E51">
        <w:rPr>
          <w:lang w:val="fr-FR"/>
        </w:rPr>
        <w:t>Energie éolienne </w:t>
      </w:r>
    </w:p>
    <w:p w:rsidR="00D10E51" w:rsidRPr="00D10E51" w:rsidRDefault="002D396F" w:rsidP="00B94E43">
      <w:pPr>
        <w:rPr>
          <w:lang w:val="fr-FR"/>
        </w:rPr>
      </w:pPr>
      <w:r>
        <w:rPr>
          <w:noProof/>
          <w:lang w:val="fr-FR" w:eastAsia="fr-FR"/>
        </w:rPr>
        <w:pict>
          <v:shape id="_x0000_s1028" type="#_x0000_t202" style="position:absolute;margin-left:87.4pt;margin-top:18.5pt;width:31.5pt;height:15pt;z-index:251660288" fillcolor="#00b0f0">
            <v:textbox>
              <w:txbxContent>
                <w:p w:rsidR="00D10E51" w:rsidRPr="00D10E51" w:rsidRDefault="00D10E51" w:rsidP="00D10E51">
                  <w:pPr>
                    <w:rPr>
                      <w:color w:val="5B9BD5" w:themeColor="accent1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27" type="#_x0000_t202" style="position:absolute;margin-left:55.9pt;margin-top:-.25pt;width:31.5pt;height:15pt;z-index:251659264" fillcolor="red" strokecolor="black [3213]">
            <v:textbox>
              <w:txbxContent>
                <w:p w:rsidR="00D10E51" w:rsidRDefault="00D10E51" w:rsidP="00D10E51"/>
              </w:txbxContent>
            </v:textbox>
          </v:shape>
        </w:pict>
      </w:r>
      <w:r w:rsidR="00D10E51" w:rsidRPr="00D10E51">
        <w:rPr>
          <w:lang w:val="fr-FR"/>
        </w:rPr>
        <w:t>Biomasse </w:t>
      </w:r>
    </w:p>
    <w:p w:rsidR="00D10E51" w:rsidRPr="00D10E51" w:rsidRDefault="00D10E51" w:rsidP="00B94E43">
      <w:pPr>
        <w:rPr>
          <w:lang w:val="fr-FR"/>
        </w:rPr>
      </w:pPr>
      <w:r w:rsidRPr="00D10E51">
        <w:rPr>
          <w:lang w:val="fr-FR"/>
        </w:rPr>
        <w:t>Hydro-électricité </w:t>
      </w:r>
    </w:p>
    <w:p w:rsidR="00D10E51" w:rsidRDefault="002D396F" w:rsidP="00B94E43">
      <w:pPr>
        <w:rPr>
          <w:lang w:val="fr-FR"/>
        </w:rPr>
      </w:pPr>
      <w:r>
        <w:rPr>
          <w:noProof/>
          <w:lang w:val="fr-FR" w:eastAsia="fr-FR"/>
        </w:rPr>
        <w:pict>
          <v:shape id="_x0000_s1029" type="#_x0000_t202" style="position:absolute;margin-left:79.15pt;margin-top:-.25pt;width:31.5pt;height:15pt;z-index:251661312" fillcolor="yellow">
            <v:textbox>
              <w:txbxContent>
                <w:p w:rsidR="00D10E51" w:rsidRDefault="00D10E51" w:rsidP="00D10E51"/>
              </w:txbxContent>
            </v:textbox>
          </v:shape>
        </w:pict>
      </w:r>
      <w:r w:rsidR="00D10E51" w:rsidRPr="00D10E51">
        <w:rPr>
          <w:lang w:val="fr-FR"/>
        </w:rPr>
        <w:t>Energie solaire </w:t>
      </w:r>
    </w:p>
    <w:p w:rsidR="00D10E51" w:rsidRDefault="00D10E51" w:rsidP="00B94E43">
      <w:pPr>
        <w:rPr>
          <w:lang w:val="fr-FR"/>
        </w:rPr>
      </w:pPr>
      <w:r>
        <w:rPr>
          <w:lang w:val="fr-FR"/>
        </w:rPr>
        <w:t>Ces ronds doivent être de différentes tailles, en fonction de la quantité d’énergie produite</w:t>
      </w:r>
      <w:r w:rsidR="00CF1C26">
        <w:rPr>
          <w:lang w:val="fr-FR"/>
        </w:rPr>
        <w:t xml:space="preserve"> (voir document 7).</w:t>
      </w:r>
      <w:r w:rsidR="00C21279">
        <w:rPr>
          <w:lang w:val="fr-FR"/>
        </w:rPr>
        <w:t xml:space="preserve"> Si plusieurs énergies renouvelables sont produites dans la même quantité, il est évident que la taille des</w:t>
      </w:r>
      <w:r w:rsidR="00F145B9">
        <w:rPr>
          <w:lang w:val="fr-FR"/>
        </w:rPr>
        <w:t xml:space="preserve"> ronds doit être alors équivalente,</w:t>
      </w:r>
      <w:r w:rsidR="00C21279">
        <w:rPr>
          <w:lang w:val="fr-FR"/>
        </w:rPr>
        <w:t xml:space="preserve"> pour ces énergies renouvelables.</w:t>
      </w:r>
    </w:p>
    <w:p w:rsidR="00535AA3" w:rsidRDefault="00535AA3" w:rsidP="00B94E43">
      <w:pPr>
        <w:rPr>
          <w:lang w:val="fr-FR"/>
        </w:rPr>
      </w:pPr>
      <w:r>
        <w:rPr>
          <w:lang w:val="fr-FR"/>
        </w:rPr>
        <w:t>Enfin, vérifie si ta carte à bien chaque élément indispensable (titre, orientation, légende, échelle et source).</w:t>
      </w:r>
    </w:p>
    <w:p w:rsidR="00535AA3" w:rsidRPr="00B94E43" w:rsidRDefault="00535AA3" w:rsidP="00B94E43">
      <w:pPr>
        <w:rPr>
          <w:lang w:val="fr-FR"/>
        </w:rPr>
      </w:pPr>
    </w:p>
    <w:p w:rsidR="00B94E43" w:rsidRPr="00374DC5" w:rsidRDefault="00B94E43">
      <w:pPr>
        <w:rPr>
          <w:lang w:val="fr-FR"/>
        </w:rPr>
      </w:pPr>
    </w:p>
    <w:sectPr w:rsidR="00B94E43" w:rsidRPr="00374DC5" w:rsidSect="001E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DC5"/>
    <w:rsid w:val="00045CF6"/>
    <w:rsid w:val="000C14E9"/>
    <w:rsid w:val="000C747B"/>
    <w:rsid w:val="001E4F2C"/>
    <w:rsid w:val="002D396F"/>
    <w:rsid w:val="00374DC5"/>
    <w:rsid w:val="0045185C"/>
    <w:rsid w:val="0052795C"/>
    <w:rsid w:val="00535AA3"/>
    <w:rsid w:val="005D174D"/>
    <w:rsid w:val="00607AB3"/>
    <w:rsid w:val="006A5B7A"/>
    <w:rsid w:val="008D039C"/>
    <w:rsid w:val="009E0FF7"/>
    <w:rsid w:val="00A60F94"/>
    <w:rsid w:val="00AB038C"/>
    <w:rsid w:val="00AF434B"/>
    <w:rsid w:val="00B27D14"/>
    <w:rsid w:val="00B92C0D"/>
    <w:rsid w:val="00B94E43"/>
    <w:rsid w:val="00BC3E86"/>
    <w:rsid w:val="00BF384F"/>
    <w:rsid w:val="00C21279"/>
    <w:rsid w:val="00C258E0"/>
    <w:rsid w:val="00CF1C26"/>
    <w:rsid w:val="00D10E51"/>
    <w:rsid w:val="00D21D3C"/>
    <w:rsid w:val="00D340DE"/>
    <w:rsid w:val="00D36F99"/>
    <w:rsid w:val="00F145B9"/>
    <w:rsid w:val="00F3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2C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F94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....</dc:creator>
  <cp:lastModifiedBy>Mélanie ....</cp:lastModifiedBy>
  <cp:revision>2</cp:revision>
  <dcterms:created xsi:type="dcterms:W3CDTF">2020-06-03T18:17:00Z</dcterms:created>
  <dcterms:modified xsi:type="dcterms:W3CDTF">2020-06-03T18:17:00Z</dcterms:modified>
</cp:coreProperties>
</file>